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8" w:rsidRDefault="008876B8" w:rsidP="008876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18774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Gujarat Green Revolution Company Limited</w:t>
      </w:r>
    </w:p>
    <w:tbl>
      <w:tblPr>
        <w:tblW w:w="13672" w:type="dxa"/>
        <w:tblInd w:w="108" w:type="dxa"/>
        <w:tblLook w:val="04A0"/>
      </w:tblPr>
      <w:tblGrid>
        <w:gridCol w:w="978"/>
        <w:gridCol w:w="978"/>
        <w:gridCol w:w="978"/>
        <w:gridCol w:w="977"/>
        <w:gridCol w:w="977"/>
        <w:gridCol w:w="976"/>
        <w:gridCol w:w="976"/>
        <w:gridCol w:w="976"/>
        <w:gridCol w:w="976"/>
        <w:gridCol w:w="976"/>
        <w:gridCol w:w="976"/>
        <w:gridCol w:w="976"/>
        <w:gridCol w:w="776"/>
        <w:gridCol w:w="200"/>
        <w:gridCol w:w="976"/>
      </w:tblGrid>
      <w:tr w:rsidR="00187746" w:rsidTr="00187746">
        <w:trPr>
          <w:gridAfter w:val="2"/>
          <w:wAfter w:w="1176" w:type="dxa"/>
          <w:trHeight w:val="360"/>
        </w:trPr>
        <w:tc>
          <w:tcPr>
            <w:tcW w:w="124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Default="0018774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Table : 7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B050"/>
                <w:sz w:val="28"/>
                <w:szCs w:val="28"/>
              </w:rPr>
              <w:t>Yearwise</w:t>
            </w:r>
            <w:proofErr w:type="spellEnd"/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B050"/>
                <w:sz w:val="28"/>
                <w:szCs w:val="28"/>
              </w:rPr>
              <w:t>categorywise</w:t>
            </w:r>
            <w:proofErr w:type="spellEnd"/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number of farmers covered under MIS</w:t>
            </w:r>
          </w:p>
        </w:tc>
      </w:tr>
      <w:tr w:rsidR="00187746" w:rsidRPr="00187746" w:rsidTr="00187746">
        <w:trPr>
          <w:trHeight w:val="420"/>
        </w:trPr>
        <w:tc>
          <w:tcPr>
            <w:tcW w:w="12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0"/>
            </w:tblGrid>
            <w:tr w:rsidR="008876B8" w:rsidRPr="00187746" w:rsidTr="008876B8">
              <w:trPr>
                <w:trHeight w:val="360"/>
                <w:tblCellSpacing w:w="0" w:type="dxa"/>
              </w:trPr>
              <w:tc>
                <w:tcPr>
                  <w:tcW w:w="1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6B8" w:rsidRPr="00187746" w:rsidRDefault="008876B8" w:rsidP="00AA57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FF000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598170</wp:posOffset>
                        </wp:positionH>
                        <wp:positionV relativeFrom="paragraph">
                          <wp:posOffset>45085</wp:posOffset>
                        </wp:positionV>
                        <wp:extent cx="7750810" cy="3393440"/>
                        <wp:effectExtent l="19050" t="0" r="21590" b="0"/>
                        <wp:wrapNone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  <w:r w:rsidRPr="00187746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</w:rPr>
                    <w:t xml:space="preserve">Table : 7 </w:t>
                  </w:r>
                  <w:r w:rsidRPr="001877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87746">
                    <w:rPr>
                      <w:rFonts w:ascii="Calibri" w:eastAsia="Times New Roman" w:hAnsi="Calibri" w:cs="Calibri"/>
                      <w:color w:val="00B050"/>
                      <w:sz w:val="28"/>
                      <w:szCs w:val="28"/>
                    </w:rPr>
                    <w:t>Yearwise</w:t>
                  </w:r>
                  <w:proofErr w:type="spellEnd"/>
                  <w:r w:rsidRPr="00187746">
                    <w:rPr>
                      <w:rFonts w:ascii="Calibri" w:eastAsia="Times New Roman" w:hAnsi="Calibri" w:cs="Calibri"/>
                      <w:color w:val="00B050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187746">
                    <w:rPr>
                      <w:rFonts w:ascii="Calibri" w:eastAsia="Times New Roman" w:hAnsi="Calibri" w:cs="Calibri"/>
                      <w:color w:val="00B050"/>
                      <w:sz w:val="28"/>
                      <w:szCs w:val="28"/>
                    </w:rPr>
                    <w:t>categorywise</w:t>
                  </w:r>
                  <w:proofErr w:type="spellEnd"/>
                  <w:r w:rsidRPr="00187746">
                    <w:rPr>
                      <w:rFonts w:ascii="Calibri" w:eastAsia="Times New Roman" w:hAnsi="Calibri" w:cs="Calibri"/>
                      <w:color w:val="00B050"/>
                      <w:sz w:val="28"/>
                      <w:szCs w:val="28"/>
                    </w:rPr>
                    <w:t xml:space="preserve"> number of farmers covered under MIS</w:t>
                  </w:r>
                </w:p>
              </w:tc>
            </w:tr>
          </w:tbl>
          <w:p w:rsidR="00187746" w:rsidRPr="00187746" w:rsidRDefault="00187746" w:rsidP="0088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60"/>
        </w:trPr>
        <w:tc>
          <w:tcPr>
            <w:tcW w:w="12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552450</wp:posOffset>
                  </wp:positionV>
                  <wp:extent cx="1285875" cy="304800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05050" y="838199"/>
                            <a:ext cx="1266825" cy="276225"/>
                            <a:chOff x="2305050" y="838199"/>
                            <a:chExt cx="1266825" cy="27622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2305050" y="723899"/>
                              <a:ext cx="12668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IN" sz="1200" b="1">
                                    <a:solidFill>
                                      <a:srgbClr val="0000CC"/>
                                    </a:solidFill>
                                  </a:rPr>
                                  <a:t>Area in Hectares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187746" w:rsidRPr="00187746" w:rsidTr="001877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6" w:rsidRPr="00187746" w:rsidRDefault="00187746" w:rsidP="00187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447399" w:rsidRDefault="00447399"/>
    <w:sectPr w:rsidR="00447399" w:rsidSect="0018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7746"/>
    <w:rsid w:val="00187746"/>
    <w:rsid w:val="001C5369"/>
    <w:rsid w:val="00447399"/>
    <w:rsid w:val="008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>
        <c:manualLayout>
          <c:layoutTarget val="inner"/>
          <c:xMode val="edge"/>
          <c:yMode val="edge"/>
          <c:x val="8.4999348437394831E-2"/>
          <c:y val="5.1368121323224068E-2"/>
          <c:w val="0.91500065156260524"/>
          <c:h val="0.7053595498904891"/>
        </c:manualLayout>
      </c:layout>
      <c:bar3DChart>
        <c:barDir val="col"/>
        <c:grouping val="clustered"/>
        <c:ser>
          <c:idx val="0"/>
          <c:order val="0"/>
          <c:tx>
            <c:strRef>
              <c:f>[1]s.m.m.l!$P$50</c:f>
              <c:strCache>
                <c:ptCount val="1"/>
                <c:pt idx="0">
                  <c:v>Large Farmer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solidFill>
                      <a:srgbClr val="0033CC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[1]s.m.m.l!$Q$49:$AB$49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[1]s.m.m.l!$Q$50:$AB$50</c:f>
              <c:numCache>
                <c:formatCode>General</c:formatCode>
                <c:ptCount val="12"/>
                <c:pt idx="0">
                  <c:v>932</c:v>
                </c:pt>
                <c:pt idx="1">
                  <c:v>1294</c:v>
                </c:pt>
                <c:pt idx="2">
                  <c:v>9605</c:v>
                </c:pt>
                <c:pt idx="3">
                  <c:v>1126</c:v>
                </c:pt>
                <c:pt idx="4">
                  <c:v>1327</c:v>
                </c:pt>
                <c:pt idx="5">
                  <c:v>2160</c:v>
                </c:pt>
                <c:pt idx="6">
                  <c:v>2647</c:v>
                </c:pt>
                <c:pt idx="7">
                  <c:v>4249</c:v>
                </c:pt>
                <c:pt idx="8">
                  <c:v>4040</c:v>
                </c:pt>
                <c:pt idx="9">
                  <c:v>4260</c:v>
                </c:pt>
                <c:pt idx="10">
                  <c:v>3055</c:v>
                </c:pt>
                <c:pt idx="11">
                  <c:v>2949</c:v>
                </c:pt>
              </c:numCache>
            </c:numRef>
          </c:val>
        </c:ser>
        <c:ser>
          <c:idx val="1"/>
          <c:order val="1"/>
          <c:tx>
            <c:strRef>
              <c:f>[1]s.m.m.l!$P$51</c:f>
              <c:strCache>
                <c:ptCount val="1"/>
                <c:pt idx="0">
                  <c:v>Marginal Farmer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[1]s.m.m.l!$Q$49:$AB$49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[1]s.m.m.l!$Q$51:$AB$51</c:f>
              <c:numCache>
                <c:formatCode>General</c:formatCode>
                <c:ptCount val="12"/>
                <c:pt idx="0">
                  <c:v>1038</c:v>
                </c:pt>
                <c:pt idx="1">
                  <c:v>1564</c:v>
                </c:pt>
                <c:pt idx="2">
                  <c:v>1388</c:v>
                </c:pt>
                <c:pt idx="3">
                  <c:v>2512</c:v>
                </c:pt>
                <c:pt idx="4">
                  <c:v>2901</c:v>
                </c:pt>
                <c:pt idx="5">
                  <c:v>4315</c:v>
                </c:pt>
                <c:pt idx="6">
                  <c:v>6913</c:v>
                </c:pt>
                <c:pt idx="7">
                  <c:v>10981</c:v>
                </c:pt>
                <c:pt idx="8">
                  <c:v>15110</c:v>
                </c:pt>
                <c:pt idx="9">
                  <c:v>13338</c:v>
                </c:pt>
                <c:pt idx="10">
                  <c:v>17997</c:v>
                </c:pt>
                <c:pt idx="11">
                  <c:v>16915</c:v>
                </c:pt>
              </c:numCache>
            </c:numRef>
          </c:val>
        </c:ser>
        <c:ser>
          <c:idx val="2"/>
          <c:order val="2"/>
          <c:tx>
            <c:strRef>
              <c:f>[1]s.m.m.l!$P$52</c:f>
              <c:strCache>
                <c:ptCount val="1"/>
                <c:pt idx="0">
                  <c:v>Medium Farmer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[1]s.m.m.l!$Q$49:$AB$49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[1]s.m.m.l!$Q$52:$AB$52</c:f>
              <c:numCache>
                <c:formatCode>General</c:formatCode>
                <c:ptCount val="12"/>
                <c:pt idx="0">
                  <c:v>1863</c:v>
                </c:pt>
                <c:pt idx="1">
                  <c:v>3089</c:v>
                </c:pt>
                <c:pt idx="2">
                  <c:v>13941</c:v>
                </c:pt>
                <c:pt idx="3">
                  <c:v>22917</c:v>
                </c:pt>
                <c:pt idx="4">
                  <c:v>26490</c:v>
                </c:pt>
                <c:pt idx="5">
                  <c:v>39992</c:v>
                </c:pt>
                <c:pt idx="6">
                  <c:v>54361</c:v>
                </c:pt>
                <c:pt idx="7">
                  <c:v>77584</c:v>
                </c:pt>
                <c:pt idx="8">
                  <c:v>81638</c:v>
                </c:pt>
                <c:pt idx="9">
                  <c:v>73097</c:v>
                </c:pt>
                <c:pt idx="10">
                  <c:v>60301</c:v>
                </c:pt>
                <c:pt idx="11">
                  <c:v>56581</c:v>
                </c:pt>
              </c:numCache>
            </c:numRef>
          </c:val>
        </c:ser>
        <c:ser>
          <c:idx val="3"/>
          <c:order val="3"/>
          <c:tx>
            <c:strRef>
              <c:f>[1]s.m.m.l!$P$53</c:f>
              <c:strCache>
                <c:ptCount val="1"/>
                <c:pt idx="0">
                  <c:v>Small Farmer</c:v>
                </c:pt>
              </c:strCache>
            </c:strRef>
          </c:tx>
          <c:dLbls>
            <c:dLbl>
              <c:idx val="2"/>
              <c:layout>
                <c:manualLayout>
                  <c:x val="4.001819409863983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006367934523919E-2"/>
                  <c:y val="-4.6267084211922228E-3"/>
                </c:manualLayout>
              </c:layout>
              <c:showVal val="1"/>
            </c:dLbl>
            <c:dLbl>
              <c:idx val="4"/>
              <c:layout>
                <c:manualLayout>
                  <c:x val="8.003638819727992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003638819727992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004548524659878E-2"/>
                  <c:y val="-4.626708421192267E-3"/>
                </c:manualLayout>
              </c:layout>
              <c:showVal val="1"/>
            </c:dLbl>
            <c:dLbl>
              <c:idx val="7"/>
              <c:layout>
                <c:manualLayout>
                  <c:x val="1.400636793452391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2005458229591943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005458229591943E-2"/>
                  <c:y val="-1.388012526357669E-2"/>
                </c:manualLayout>
              </c:layout>
              <c:showVal val="1"/>
            </c:dLbl>
            <c:dLbl>
              <c:idx val="10"/>
              <c:layout>
                <c:manualLayout>
                  <c:x val="6.0027291147959792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6.0027291147959792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[1]s.m.m.l!$Q$49:$AB$49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[1]s.m.m.l!$Q$53:$AB$53</c:f>
              <c:numCache>
                <c:formatCode>General</c:formatCode>
                <c:ptCount val="12"/>
                <c:pt idx="0">
                  <c:v>3384</c:v>
                </c:pt>
                <c:pt idx="1">
                  <c:v>7858</c:v>
                </c:pt>
                <c:pt idx="2">
                  <c:v>7564</c:v>
                </c:pt>
                <c:pt idx="3">
                  <c:v>12880</c:v>
                </c:pt>
                <c:pt idx="4">
                  <c:v>12812</c:v>
                </c:pt>
                <c:pt idx="5">
                  <c:v>19128</c:v>
                </c:pt>
                <c:pt idx="6">
                  <c:v>27472</c:v>
                </c:pt>
                <c:pt idx="7">
                  <c:v>35435</c:v>
                </c:pt>
                <c:pt idx="8">
                  <c:v>39421</c:v>
                </c:pt>
                <c:pt idx="9">
                  <c:v>33088</c:v>
                </c:pt>
                <c:pt idx="10">
                  <c:v>46432</c:v>
                </c:pt>
                <c:pt idx="11">
                  <c:v>41848</c:v>
                </c:pt>
              </c:numCache>
            </c:numRef>
          </c:val>
        </c:ser>
        <c:shape val="box"/>
        <c:axId val="99991552"/>
        <c:axId val="99993088"/>
        <c:axId val="0"/>
      </c:bar3DChart>
      <c:catAx>
        <c:axId val="99991552"/>
        <c:scaling>
          <c:orientation val="minMax"/>
        </c:scaling>
        <c:axPos val="b"/>
        <c:tickLblPos val="nextTo"/>
        <c:crossAx val="99993088"/>
        <c:crosses val="autoZero"/>
        <c:auto val="1"/>
        <c:lblAlgn val="ctr"/>
        <c:lblOffset val="100"/>
      </c:catAx>
      <c:valAx>
        <c:axId val="99993088"/>
        <c:scaling>
          <c:orientation val="minMax"/>
        </c:scaling>
        <c:axPos val="l"/>
        <c:majorGridlines/>
        <c:numFmt formatCode="General" sourceLinked="1"/>
        <c:tickLblPos val="nextTo"/>
        <c:crossAx val="9999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157401710009989"/>
          <c:y val="0.21700355418640646"/>
          <c:w val="0.16953613398721623"/>
          <c:h val="0.3346574705675773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4</cp:revision>
  <dcterms:created xsi:type="dcterms:W3CDTF">2017-04-26T08:36:00Z</dcterms:created>
  <dcterms:modified xsi:type="dcterms:W3CDTF">2017-04-26T08:38:00Z</dcterms:modified>
</cp:coreProperties>
</file>